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740"/>
        <w:gridCol w:w="1976"/>
        <w:gridCol w:w="687"/>
        <w:gridCol w:w="1010"/>
        <w:gridCol w:w="2541"/>
        <w:gridCol w:w="2828"/>
      </w:tblGrid>
      <w:tr w:rsidR="00CF4650" w14:paraId="01DFCA0A" w14:textId="77777777" w:rsidTr="00CF4650">
        <w:tc>
          <w:tcPr>
            <w:tcW w:w="9782" w:type="dxa"/>
            <w:gridSpan w:val="6"/>
          </w:tcPr>
          <w:p w14:paraId="1C7CFC17" w14:textId="7F86D1FD" w:rsidR="00CF4650" w:rsidRPr="00CF4650" w:rsidRDefault="00CF465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Dane kontaktowe</w:t>
            </w:r>
          </w:p>
        </w:tc>
      </w:tr>
      <w:tr w:rsidR="00CF4650" w14:paraId="264BE27D" w14:textId="77777777" w:rsidTr="00CF4650">
        <w:tc>
          <w:tcPr>
            <w:tcW w:w="3403" w:type="dxa"/>
            <w:gridSpan w:val="3"/>
          </w:tcPr>
          <w:p w14:paraId="310CE0A4" w14:textId="48B97E4C" w:rsidR="00CF4650" w:rsidRPr="00CF4650" w:rsidRDefault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Nazwa firmy</w:t>
            </w:r>
          </w:p>
        </w:tc>
        <w:tc>
          <w:tcPr>
            <w:tcW w:w="6379" w:type="dxa"/>
            <w:gridSpan w:val="3"/>
          </w:tcPr>
          <w:p w14:paraId="5612B238" w14:textId="77777777" w:rsidR="00CF4650" w:rsidRPr="00CF4650" w:rsidRDefault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128F" w14:paraId="5A526540" w14:textId="77777777" w:rsidTr="00CF4650">
        <w:tc>
          <w:tcPr>
            <w:tcW w:w="3403" w:type="dxa"/>
            <w:gridSpan w:val="3"/>
          </w:tcPr>
          <w:p w14:paraId="01568048" w14:textId="21FF74EA" w:rsidR="00D31FAD" w:rsidRPr="00CF4650" w:rsidRDefault="00D31F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NIP</w:t>
            </w:r>
          </w:p>
        </w:tc>
        <w:tc>
          <w:tcPr>
            <w:tcW w:w="6379" w:type="dxa"/>
            <w:gridSpan w:val="3"/>
          </w:tcPr>
          <w:p w14:paraId="6E8408CC" w14:textId="77777777" w:rsidR="0068128F" w:rsidRPr="00CF4650" w:rsidRDefault="006812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128F" w14:paraId="03D33DF1" w14:textId="77777777" w:rsidTr="00CF4650">
        <w:tc>
          <w:tcPr>
            <w:tcW w:w="3403" w:type="dxa"/>
            <w:gridSpan w:val="3"/>
          </w:tcPr>
          <w:p w14:paraId="26032BAF" w14:textId="636F10C1" w:rsidR="0068128F" w:rsidRPr="00CF4650" w:rsidRDefault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Osoba kontaktowa</w:t>
            </w:r>
          </w:p>
        </w:tc>
        <w:tc>
          <w:tcPr>
            <w:tcW w:w="6379" w:type="dxa"/>
            <w:gridSpan w:val="3"/>
          </w:tcPr>
          <w:p w14:paraId="62AF8D79" w14:textId="77777777" w:rsidR="0068128F" w:rsidRPr="00CF4650" w:rsidRDefault="006812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128F" w14:paraId="110EDC53" w14:textId="77777777" w:rsidTr="00CF4650">
        <w:tc>
          <w:tcPr>
            <w:tcW w:w="3403" w:type="dxa"/>
            <w:gridSpan w:val="3"/>
          </w:tcPr>
          <w:p w14:paraId="59FBF801" w14:textId="5303F07C" w:rsidR="0068128F" w:rsidRPr="00CF4650" w:rsidRDefault="00D31F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CF4650" w:rsidRPr="00CF4650">
              <w:rPr>
                <w:rFonts w:asciiTheme="majorHAnsi" w:hAnsiTheme="majorHAnsi" w:cstheme="majorHAnsi"/>
                <w:sz w:val="20"/>
                <w:szCs w:val="20"/>
              </w:rPr>
              <w:t>umer telefonu</w:t>
            </w:r>
          </w:p>
        </w:tc>
        <w:tc>
          <w:tcPr>
            <w:tcW w:w="6379" w:type="dxa"/>
            <w:gridSpan w:val="3"/>
          </w:tcPr>
          <w:p w14:paraId="326613B5" w14:textId="77777777" w:rsidR="0068128F" w:rsidRPr="00CF4650" w:rsidRDefault="006812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128F" w14:paraId="4C388303" w14:textId="77777777" w:rsidTr="00CF4650">
        <w:tc>
          <w:tcPr>
            <w:tcW w:w="3403" w:type="dxa"/>
            <w:gridSpan w:val="3"/>
          </w:tcPr>
          <w:p w14:paraId="02272044" w14:textId="7B271C89" w:rsidR="0068128F" w:rsidRPr="00CF4650" w:rsidRDefault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Adres e-mail</w:t>
            </w:r>
          </w:p>
        </w:tc>
        <w:tc>
          <w:tcPr>
            <w:tcW w:w="6379" w:type="dxa"/>
            <w:gridSpan w:val="3"/>
          </w:tcPr>
          <w:p w14:paraId="320D8873" w14:textId="77777777" w:rsidR="0068128F" w:rsidRPr="00CF4650" w:rsidRDefault="006812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4650" w14:paraId="568512BF" w14:textId="77777777" w:rsidTr="00CF4650">
        <w:tc>
          <w:tcPr>
            <w:tcW w:w="9782" w:type="dxa"/>
            <w:gridSpan w:val="6"/>
          </w:tcPr>
          <w:p w14:paraId="67AC42A1" w14:textId="65F0F0C1" w:rsidR="00CF4650" w:rsidRPr="00CF4650" w:rsidRDefault="00CF465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Informacje o firmie</w:t>
            </w:r>
          </w:p>
        </w:tc>
      </w:tr>
      <w:tr w:rsidR="00CF4650" w14:paraId="0316ADFC" w14:textId="77777777" w:rsidTr="00CF4650">
        <w:tc>
          <w:tcPr>
            <w:tcW w:w="3403" w:type="dxa"/>
            <w:gridSpan w:val="3"/>
          </w:tcPr>
          <w:p w14:paraId="5B83A117" w14:textId="0875145C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Czy firma nie zalega z płatnościami do ZUS</w:t>
            </w:r>
          </w:p>
        </w:tc>
        <w:tc>
          <w:tcPr>
            <w:tcW w:w="6379" w:type="dxa"/>
            <w:gridSpan w:val="3"/>
          </w:tcPr>
          <w:p w14:paraId="63C7CD2A" w14:textId="77777777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4650" w14:paraId="29CCEE3C" w14:textId="77777777" w:rsidTr="00CF4650">
        <w:tc>
          <w:tcPr>
            <w:tcW w:w="3403" w:type="dxa"/>
            <w:gridSpan w:val="3"/>
          </w:tcPr>
          <w:p w14:paraId="46AA211B" w14:textId="0E9AC47F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Czy firma nie zalega z płatnościami do Urzędu Skarbowego</w:t>
            </w:r>
          </w:p>
        </w:tc>
        <w:tc>
          <w:tcPr>
            <w:tcW w:w="6379" w:type="dxa"/>
            <w:gridSpan w:val="3"/>
          </w:tcPr>
          <w:p w14:paraId="07C4F3E3" w14:textId="77777777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4650" w14:paraId="1DC9FD72" w14:textId="77777777" w:rsidTr="00CF4650">
        <w:tc>
          <w:tcPr>
            <w:tcW w:w="3403" w:type="dxa"/>
            <w:gridSpan w:val="3"/>
          </w:tcPr>
          <w:p w14:paraId="69C7B9D3" w14:textId="2C219F4A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Czy firma brała udział w poprzednich edycjach i z jakim skutkiem</w:t>
            </w:r>
          </w:p>
        </w:tc>
        <w:tc>
          <w:tcPr>
            <w:tcW w:w="6379" w:type="dxa"/>
            <w:gridSpan w:val="3"/>
          </w:tcPr>
          <w:p w14:paraId="2E30B62F" w14:textId="77777777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4650" w14:paraId="768E1C48" w14:textId="77777777" w:rsidTr="00CF4650">
        <w:tc>
          <w:tcPr>
            <w:tcW w:w="3403" w:type="dxa"/>
            <w:gridSpan w:val="3"/>
          </w:tcPr>
          <w:p w14:paraId="243EA3AA" w14:textId="246E0AF0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Czy firma posiada swojego doradcę BHP, który przygotuje całą dokumentację</w:t>
            </w:r>
          </w:p>
        </w:tc>
        <w:tc>
          <w:tcPr>
            <w:tcW w:w="6379" w:type="dxa"/>
            <w:gridSpan w:val="3"/>
          </w:tcPr>
          <w:p w14:paraId="12197AF1" w14:textId="77777777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196E" w14:paraId="69E3AE11" w14:textId="77777777" w:rsidTr="00CF4650">
        <w:trPr>
          <w:trHeight w:val="448"/>
        </w:trPr>
        <w:tc>
          <w:tcPr>
            <w:tcW w:w="9782" w:type="dxa"/>
            <w:gridSpan w:val="6"/>
          </w:tcPr>
          <w:p w14:paraId="3914B154" w14:textId="4C1EFCCC" w:rsidR="002F196E" w:rsidRPr="00CF4650" w:rsidRDefault="002F196E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Informacje o firmie i pracownikach</w:t>
            </w:r>
          </w:p>
        </w:tc>
      </w:tr>
      <w:tr w:rsidR="002F196E" w14:paraId="419DC556" w14:textId="77777777" w:rsidTr="00CF4650">
        <w:trPr>
          <w:trHeight w:val="873"/>
        </w:trPr>
        <w:tc>
          <w:tcPr>
            <w:tcW w:w="3403" w:type="dxa"/>
            <w:gridSpan w:val="3"/>
          </w:tcPr>
          <w:p w14:paraId="08C01D04" w14:textId="53475644" w:rsidR="002F196E" w:rsidRPr="00CF4650" w:rsidRDefault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Czym dokładnie zajmuje się </w:t>
            </w:r>
          </w:p>
        </w:tc>
        <w:tc>
          <w:tcPr>
            <w:tcW w:w="6379" w:type="dxa"/>
            <w:gridSpan w:val="3"/>
          </w:tcPr>
          <w:p w14:paraId="4D25E3B7" w14:textId="77777777" w:rsidR="002F196E" w:rsidRPr="00CF4650" w:rsidRDefault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196E" w14:paraId="5761324D" w14:textId="77777777" w:rsidTr="00CF4650">
        <w:tc>
          <w:tcPr>
            <w:tcW w:w="3403" w:type="dxa"/>
            <w:gridSpan w:val="3"/>
          </w:tcPr>
          <w:p w14:paraId="625C035D" w14:textId="788BC7A4" w:rsidR="002F196E" w:rsidRPr="00CF4650" w:rsidRDefault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Ile osób zatrudnia firma, a za ilu z nich odprowadza składki ZUS (uwzględniając rodzaj umowy)?</w:t>
            </w:r>
          </w:p>
        </w:tc>
        <w:tc>
          <w:tcPr>
            <w:tcW w:w="6379" w:type="dxa"/>
            <w:gridSpan w:val="3"/>
          </w:tcPr>
          <w:p w14:paraId="7EF9FCB9" w14:textId="77777777" w:rsidR="002F196E" w:rsidRPr="00CF4650" w:rsidRDefault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196E" w14:paraId="519C950E" w14:textId="77777777" w:rsidTr="00CF4650">
        <w:tc>
          <w:tcPr>
            <w:tcW w:w="3403" w:type="dxa"/>
            <w:gridSpan w:val="3"/>
          </w:tcPr>
          <w:p w14:paraId="5D417F49" w14:textId="14F034DF" w:rsidR="002F196E" w:rsidRPr="00CF4650" w:rsidRDefault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Czy firma posiada oddziały? Jeśli tak, czy każdy oddział odprowadza składki samodzielnie?</w:t>
            </w:r>
          </w:p>
        </w:tc>
        <w:tc>
          <w:tcPr>
            <w:tcW w:w="6379" w:type="dxa"/>
            <w:gridSpan w:val="3"/>
          </w:tcPr>
          <w:p w14:paraId="34BCFF58" w14:textId="77777777" w:rsidR="002F196E" w:rsidRPr="00CF4650" w:rsidRDefault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196E" w14:paraId="4DCE0305" w14:textId="77777777" w:rsidTr="00CF4650">
        <w:trPr>
          <w:trHeight w:val="505"/>
        </w:trPr>
        <w:tc>
          <w:tcPr>
            <w:tcW w:w="9782" w:type="dxa"/>
            <w:gridSpan w:val="6"/>
          </w:tcPr>
          <w:p w14:paraId="2118C1C2" w14:textId="7B195528" w:rsidR="002F196E" w:rsidRPr="00CF4650" w:rsidRDefault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</w:t>
            </w:r>
            <w:r w:rsidRPr="00CF46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anowiska pracy i warunki pracy</w:t>
            </w:r>
          </w:p>
        </w:tc>
      </w:tr>
      <w:tr w:rsidR="002F196E" w14:paraId="183C154C" w14:textId="77777777" w:rsidTr="00CF4650">
        <w:tc>
          <w:tcPr>
            <w:tcW w:w="740" w:type="dxa"/>
          </w:tcPr>
          <w:p w14:paraId="617062B0" w14:textId="28C178F4" w:rsidR="002F196E" w:rsidRPr="00CF4650" w:rsidRDefault="002F196E" w:rsidP="00CF465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Lp</w:t>
            </w:r>
            <w:r w:rsidR="00CF4650" w:rsidRPr="00CF465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14:paraId="2F86E4DD" w14:textId="08D8435F" w:rsidR="002F196E" w:rsidRPr="00CF4650" w:rsidRDefault="002F196E" w:rsidP="00CF465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Nazwa stanowiska</w:t>
            </w:r>
          </w:p>
        </w:tc>
        <w:tc>
          <w:tcPr>
            <w:tcW w:w="1697" w:type="dxa"/>
            <w:gridSpan w:val="2"/>
          </w:tcPr>
          <w:p w14:paraId="6422B641" w14:textId="77777777" w:rsidR="002F196E" w:rsidRPr="00CF4650" w:rsidRDefault="002F196E" w:rsidP="00CF465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Czy są dostępne aktualne oceny ryzyka zawodowego</w:t>
            </w:r>
          </w:p>
          <w:p w14:paraId="6506AD7A" w14:textId="22B6B4B5" w:rsidR="00CF4650" w:rsidRPr="00CF4650" w:rsidRDefault="00CF4650" w:rsidP="00CF465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TAK/NIE</w:t>
            </w:r>
          </w:p>
        </w:tc>
        <w:tc>
          <w:tcPr>
            <w:tcW w:w="2541" w:type="dxa"/>
          </w:tcPr>
          <w:p w14:paraId="4C3A0E31" w14:textId="18BD3BCA" w:rsidR="002F196E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Czy firma dysponuje wynikami pomiarów czynników szkodliwych lub uciążliwych na stanowiskach pracy (np. hałas,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emperatura, wentylacja)?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TAK/NIE</w:t>
            </w:r>
          </w:p>
        </w:tc>
        <w:tc>
          <w:tcPr>
            <w:tcW w:w="2828" w:type="dxa"/>
          </w:tcPr>
          <w:p w14:paraId="5774F126" w14:textId="77777777" w:rsidR="002F196E" w:rsidRPr="00CF4650" w:rsidRDefault="002F196E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Czy w firmie przeprowadzano ocenę obciążenia układu mięśniowo-szkieletowego?</w:t>
            </w:r>
          </w:p>
          <w:p w14:paraId="6A3F44B7" w14:textId="3C541AD1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TAK/NIE</w:t>
            </w:r>
          </w:p>
        </w:tc>
      </w:tr>
      <w:tr w:rsidR="002F196E" w14:paraId="3EDC31BB" w14:textId="77777777" w:rsidTr="00CF4650">
        <w:tc>
          <w:tcPr>
            <w:tcW w:w="740" w:type="dxa"/>
          </w:tcPr>
          <w:p w14:paraId="5409BEE7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6" w:type="dxa"/>
          </w:tcPr>
          <w:p w14:paraId="14ED89E6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7CFF832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41" w:type="dxa"/>
          </w:tcPr>
          <w:p w14:paraId="0071867C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E410151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196E" w14:paraId="433FE751" w14:textId="77777777" w:rsidTr="00CF4650">
        <w:tc>
          <w:tcPr>
            <w:tcW w:w="740" w:type="dxa"/>
          </w:tcPr>
          <w:p w14:paraId="206CA5D8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6" w:type="dxa"/>
          </w:tcPr>
          <w:p w14:paraId="0323159B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4008F62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41" w:type="dxa"/>
          </w:tcPr>
          <w:p w14:paraId="548985A8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AD973E5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196E" w14:paraId="7D8F3ED4" w14:textId="77777777" w:rsidTr="00CF4650">
        <w:tc>
          <w:tcPr>
            <w:tcW w:w="740" w:type="dxa"/>
          </w:tcPr>
          <w:p w14:paraId="0599E113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6" w:type="dxa"/>
          </w:tcPr>
          <w:p w14:paraId="7B5C56C9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07A68C3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311D18A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DA066A9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196E" w14:paraId="09945735" w14:textId="77777777" w:rsidTr="00CF4650">
        <w:tc>
          <w:tcPr>
            <w:tcW w:w="740" w:type="dxa"/>
          </w:tcPr>
          <w:p w14:paraId="7B6A3842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6" w:type="dxa"/>
          </w:tcPr>
          <w:p w14:paraId="34FD35E3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1090D52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41" w:type="dxa"/>
          </w:tcPr>
          <w:p w14:paraId="0350E40D" w14:textId="77777777" w:rsidR="002F196E" w:rsidRPr="00CF4650" w:rsidRDefault="002F196E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1497182" w14:textId="77777777" w:rsidR="002F196E" w:rsidRDefault="002F196E" w:rsidP="002F196E"/>
        </w:tc>
      </w:tr>
      <w:tr w:rsidR="00CF4650" w14:paraId="42D4820C" w14:textId="77777777" w:rsidTr="00CF4650">
        <w:tc>
          <w:tcPr>
            <w:tcW w:w="9782" w:type="dxa"/>
            <w:gridSpan w:val="6"/>
          </w:tcPr>
          <w:p w14:paraId="33258E65" w14:textId="2CBC445A" w:rsidR="00CF4650" w:rsidRPr="00CF4650" w:rsidRDefault="00CF4650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Cel projektu</w:t>
            </w:r>
          </w:p>
        </w:tc>
      </w:tr>
      <w:tr w:rsidR="00CF4650" w14:paraId="00B98252" w14:textId="77777777" w:rsidTr="00CF4650">
        <w:tc>
          <w:tcPr>
            <w:tcW w:w="3403" w:type="dxa"/>
            <w:gridSpan w:val="3"/>
          </w:tcPr>
          <w:p w14:paraId="55C7A370" w14:textId="77777777" w:rsidR="00CF4650" w:rsidRPr="00CF4650" w:rsidRDefault="00CF4650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Jakie są główne cele planowanego projektu związanego z poprawą BHP? Czy firma ma konkretne wskaźniki, które chce osiągnąć?</w:t>
            </w:r>
          </w:p>
          <w:p w14:paraId="29BD1297" w14:textId="084EE584" w:rsidR="00CF4650" w:rsidRPr="00CF4650" w:rsidRDefault="00CF4650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557EE8E5" w14:textId="77777777" w:rsidR="00CF4650" w:rsidRPr="00CF4650" w:rsidRDefault="00CF4650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4650" w14:paraId="07CC5AC2" w14:textId="77777777" w:rsidTr="00CF4650">
        <w:tc>
          <w:tcPr>
            <w:tcW w:w="3403" w:type="dxa"/>
            <w:gridSpan w:val="3"/>
          </w:tcPr>
          <w:p w14:paraId="4AB643DE" w14:textId="28238160" w:rsidR="00CF4650" w:rsidRPr="00CF4650" w:rsidRDefault="00CF4650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Czy planowane działania obejmują modernizację istniejącego wyposażenia lub zakup nowego sprzętu? Jeśli tak, jaki sprzęt lub rozwiązania są rozważane?</w:t>
            </w:r>
          </w:p>
        </w:tc>
        <w:tc>
          <w:tcPr>
            <w:tcW w:w="6379" w:type="dxa"/>
            <w:gridSpan w:val="3"/>
          </w:tcPr>
          <w:p w14:paraId="4D566E25" w14:textId="77777777" w:rsidR="00CF4650" w:rsidRPr="00CF4650" w:rsidRDefault="00CF4650" w:rsidP="002F19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4650" w14:paraId="0B0B3E0D" w14:textId="77777777" w:rsidTr="00CF4650">
        <w:tc>
          <w:tcPr>
            <w:tcW w:w="3403" w:type="dxa"/>
            <w:gridSpan w:val="3"/>
          </w:tcPr>
          <w:p w14:paraId="5D89AB5B" w14:textId="12C87781" w:rsidR="00CF4650" w:rsidRDefault="00CF4650" w:rsidP="002F196E"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Dla jakich stanowisk pracodawca zamierza zakupić sprzęt w celu poprawy warunków bhp?</w:t>
            </w:r>
          </w:p>
        </w:tc>
        <w:tc>
          <w:tcPr>
            <w:tcW w:w="6379" w:type="dxa"/>
            <w:gridSpan w:val="3"/>
          </w:tcPr>
          <w:p w14:paraId="057F9888" w14:textId="77777777" w:rsidR="00CF4650" w:rsidRDefault="00CF4650" w:rsidP="002F196E"/>
        </w:tc>
      </w:tr>
    </w:tbl>
    <w:p w14:paraId="3F55A486" w14:textId="77777777" w:rsidR="00CF4650" w:rsidRDefault="00CF4650">
      <w:r>
        <w:br w:type="page"/>
      </w:r>
    </w:p>
    <w:p w14:paraId="14C9415A" w14:textId="10726CA3" w:rsidR="002F196E" w:rsidRPr="00CF4650" w:rsidRDefault="00CF4650" w:rsidP="00CF465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F4650">
        <w:rPr>
          <w:rFonts w:asciiTheme="majorHAnsi" w:hAnsiTheme="majorHAnsi" w:cstheme="majorHAnsi"/>
          <w:sz w:val="20"/>
          <w:szCs w:val="20"/>
        </w:rPr>
        <w:lastRenderedPageBreak/>
        <w:t xml:space="preserve">PROSZĘ OKREŚLIĆ </w:t>
      </w:r>
      <w:r w:rsidRPr="00CF4650">
        <w:rPr>
          <w:rFonts w:asciiTheme="majorHAnsi" w:hAnsiTheme="majorHAnsi" w:cstheme="majorHAnsi"/>
          <w:b/>
          <w:bCs/>
          <w:sz w:val="20"/>
          <w:szCs w:val="20"/>
          <w:u w:val="single"/>
        </w:rPr>
        <w:t>CEL DOTACJI</w:t>
      </w:r>
      <w:r w:rsidRPr="00CF4650">
        <w:rPr>
          <w:rFonts w:asciiTheme="majorHAnsi" w:hAnsiTheme="majorHAnsi" w:cstheme="majorHAnsi"/>
          <w:sz w:val="20"/>
          <w:szCs w:val="20"/>
        </w:rPr>
        <w:t xml:space="preserve"> ZGODNIE Z PONIŻSZYMI KATEGORIAMI: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134"/>
        <w:gridCol w:w="1979"/>
      </w:tblGrid>
      <w:tr w:rsidR="00C62D29" w14:paraId="2EF63377" w14:textId="77777777" w:rsidTr="00CF4650">
        <w:trPr>
          <w:trHeight w:val="403"/>
        </w:trPr>
        <w:tc>
          <w:tcPr>
            <w:tcW w:w="5949" w:type="dxa"/>
          </w:tcPr>
          <w:p w14:paraId="6F2AACD2" w14:textId="798C1B47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Cel</w:t>
            </w:r>
          </w:p>
        </w:tc>
        <w:tc>
          <w:tcPr>
            <w:tcW w:w="1134" w:type="dxa"/>
          </w:tcPr>
          <w:p w14:paraId="5334EC53" w14:textId="3FEA39E4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Max kwota</w:t>
            </w:r>
          </w:p>
        </w:tc>
        <w:tc>
          <w:tcPr>
            <w:tcW w:w="1979" w:type="dxa"/>
          </w:tcPr>
          <w:p w14:paraId="305B05B1" w14:textId="3CC62E02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Kwota planowanych wydatków i na co?</w:t>
            </w:r>
          </w:p>
        </w:tc>
      </w:tr>
      <w:tr w:rsidR="00C62D29" w14:paraId="6911FD86" w14:textId="77777777" w:rsidTr="00CF4650">
        <w:tc>
          <w:tcPr>
            <w:tcW w:w="5949" w:type="dxa"/>
          </w:tcPr>
          <w:p w14:paraId="36211FBE" w14:textId="1C204A94" w:rsidR="00C62D29" w:rsidRPr="00CF4650" w:rsidRDefault="00557422" w:rsidP="00C62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  <w:r w:rsidR="00C62D29" w:rsidRPr="00CF4650">
              <w:rPr>
                <w:rFonts w:asciiTheme="majorHAnsi" w:hAnsiTheme="majorHAnsi" w:cstheme="majorHAnsi"/>
                <w:sz w:val="20"/>
                <w:szCs w:val="20"/>
              </w:rPr>
              <w:t>Zakup i instalacja osłon stałych i ruchomych chroniących przed zagrożeniami mechanicznymi, występującymi w niebezpiecznych strefach maszyn i innych urządzeń technicznych, np. osłon nastawnych, blokujących, blokujących z ryglowaniem, sterujących, zamykających się samoczynnie.</w:t>
            </w:r>
          </w:p>
        </w:tc>
        <w:tc>
          <w:tcPr>
            <w:tcW w:w="1134" w:type="dxa"/>
          </w:tcPr>
          <w:p w14:paraId="2FCB88C0" w14:textId="128E30C2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150.000</w:t>
            </w:r>
          </w:p>
        </w:tc>
        <w:tc>
          <w:tcPr>
            <w:tcW w:w="1979" w:type="dxa"/>
          </w:tcPr>
          <w:p w14:paraId="2E4A0797" w14:textId="77777777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2D29" w14:paraId="1519DFCD" w14:textId="77777777" w:rsidTr="00CF4650">
        <w:tc>
          <w:tcPr>
            <w:tcW w:w="5949" w:type="dxa"/>
          </w:tcPr>
          <w:p w14:paraId="7237FD6E" w14:textId="41052CA3" w:rsidR="00C62D29" w:rsidRPr="00CF4650" w:rsidRDefault="00557422" w:rsidP="005574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2. Zakup i instalacja urządzeń ochronnych przed zagrożeniami mechanicznymi występującymi w  niebezpiecznych strefach maszyn i innych urządzeń technicznych, tj. urządzeń: blokujących, zezwalających, sterujących podtrzymywanych, oburęcznego sterowania, czułych na nacisk, aktywnych optoelektronicznych (np. kurtyny i promienie świetlne, skanery laserowe), sterujących krokowych, ograniczających.</w:t>
            </w:r>
          </w:p>
        </w:tc>
        <w:tc>
          <w:tcPr>
            <w:tcW w:w="1134" w:type="dxa"/>
          </w:tcPr>
          <w:p w14:paraId="6902598C" w14:textId="248D49F0" w:rsidR="00C62D29" w:rsidRPr="00CF4650" w:rsidRDefault="008A043D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80.000</w:t>
            </w:r>
          </w:p>
        </w:tc>
        <w:tc>
          <w:tcPr>
            <w:tcW w:w="1979" w:type="dxa"/>
          </w:tcPr>
          <w:p w14:paraId="1A3241FA" w14:textId="77777777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2D29" w14:paraId="6082B17B" w14:textId="77777777" w:rsidTr="00CF4650">
        <w:tc>
          <w:tcPr>
            <w:tcW w:w="5949" w:type="dxa"/>
          </w:tcPr>
          <w:p w14:paraId="1CAB75FE" w14:textId="715F31B7" w:rsidR="00C62D29" w:rsidRPr="00CF4650" w:rsidRDefault="008A043D" w:rsidP="008930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3. Zakup i instalacja do maszyn lub innych urządzeń technicznych uzupełniających środków ochronnych (czyli realizujących funkcję zatrzymania</w:t>
            </w:r>
            <w:r w:rsidR="0089309C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awaryjnego) do odłączania i rozpraszania energii (np.: izolacyjnych odłączników całej maszyny lub jej określonych części od wszystkich źródeł</w:t>
            </w:r>
            <w:r w:rsidR="0089309C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zasilania z możliwością ich zamykania na klucz lub w inny sposób w położeniu odłączenia).</w:t>
            </w:r>
          </w:p>
        </w:tc>
        <w:tc>
          <w:tcPr>
            <w:tcW w:w="1134" w:type="dxa"/>
          </w:tcPr>
          <w:p w14:paraId="78DA65CA" w14:textId="7BED5A7F" w:rsidR="00C62D29" w:rsidRPr="00CF4650" w:rsidRDefault="008A043D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180.000</w:t>
            </w:r>
          </w:p>
        </w:tc>
        <w:tc>
          <w:tcPr>
            <w:tcW w:w="1979" w:type="dxa"/>
          </w:tcPr>
          <w:p w14:paraId="6D7FF263" w14:textId="77777777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2D29" w14:paraId="196BEAC3" w14:textId="77777777" w:rsidTr="00CF4650">
        <w:tc>
          <w:tcPr>
            <w:tcW w:w="5949" w:type="dxa"/>
          </w:tcPr>
          <w:p w14:paraId="10DF9CB8" w14:textId="34952310" w:rsidR="00C62D29" w:rsidRPr="00CF4650" w:rsidRDefault="0089309C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4. Zakup i instalacja elementów systemów sterowania maszyn i innych urządzeń technicznych realizujących funkcje bezpieczeństwa.</w:t>
            </w:r>
          </w:p>
        </w:tc>
        <w:tc>
          <w:tcPr>
            <w:tcW w:w="1134" w:type="dxa"/>
          </w:tcPr>
          <w:p w14:paraId="6D8BFAEF" w14:textId="3F033331" w:rsidR="00C62D29" w:rsidRPr="00CF4650" w:rsidRDefault="0089309C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80.000</w:t>
            </w:r>
          </w:p>
        </w:tc>
        <w:tc>
          <w:tcPr>
            <w:tcW w:w="1979" w:type="dxa"/>
          </w:tcPr>
          <w:p w14:paraId="2E269697" w14:textId="77777777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2D29" w14:paraId="20ED7B63" w14:textId="77777777" w:rsidTr="00CF4650">
        <w:tc>
          <w:tcPr>
            <w:tcW w:w="5949" w:type="dxa"/>
          </w:tcPr>
          <w:p w14:paraId="5C19EE64" w14:textId="473211AE" w:rsidR="00C62D29" w:rsidRPr="00CF4650" w:rsidRDefault="0089309C" w:rsidP="008930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5. Zakup i instalacja urządzeń i elementów sygnalizacji, ostrzegania i informowania pracowników o zagrożeniach w miejscu pracy, np.: ręczne detektory toksycznych gazów, wiatromierze, sygnalizatory świetlne oraz akustyczno-optyczne sygnalizatory stref występowania zagrożenia, takich jak: strefy ruchu maszyn, miejsca awarii, wykopy, zbiorniki.</w:t>
            </w:r>
          </w:p>
        </w:tc>
        <w:tc>
          <w:tcPr>
            <w:tcW w:w="1134" w:type="dxa"/>
          </w:tcPr>
          <w:p w14:paraId="69DB4AF7" w14:textId="168903ED" w:rsidR="00C62D29" w:rsidRPr="00CF4650" w:rsidRDefault="0089309C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30.000</w:t>
            </w:r>
          </w:p>
        </w:tc>
        <w:tc>
          <w:tcPr>
            <w:tcW w:w="1979" w:type="dxa"/>
          </w:tcPr>
          <w:p w14:paraId="1CD7E15D" w14:textId="77777777" w:rsidR="00C62D29" w:rsidRPr="00CF4650" w:rsidRDefault="00C62D2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09C" w14:paraId="3B90CFC1" w14:textId="77777777" w:rsidTr="00CF4650">
        <w:tc>
          <w:tcPr>
            <w:tcW w:w="5949" w:type="dxa"/>
          </w:tcPr>
          <w:p w14:paraId="2D9942E1" w14:textId="5FC1E74E" w:rsidR="0089309C" w:rsidRPr="00CF4650" w:rsidRDefault="00473279" w:rsidP="00F508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6. </w:t>
            </w:r>
            <w:r w:rsidR="0089309C" w:rsidRPr="00CF4650">
              <w:rPr>
                <w:rFonts w:asciiTheme="majorHAnsi" w:hAnsiTheme="majorHAnsi" w:cstheme="majorHAnsi"/>
                <w:sz w:val="20"/>
                <w:szCs w:val="20"/>
              </w:rPr>
              <w:t>Zakup i instalacja obudów, osłon i ekranów chroniących przed promieniowaniem elektromagnetycznym z wyłączeniem promieniowania</w:t>
            </w:r>
            <w:r w:rsidR="00F50866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9309C" w:rsidRPr="00CF4650">
              <w:rPr>
                <w:rFonts w:asciiTheme="majorHAnsi" w:hAnsiTheme="majorHAnsi" w:cstheme="majorHAnsi"/>
                <w:sz w:val="20"/>
                <w:szCs w:val="20"/>
              </w:rPr>
              <w:t>optycznego.</w:t>
            </w:r>
          </w:p>
        </w:tc>
        <w:tc>
          <w:tcPr>
            <w:tcW w:w="1134" w:type="dxa"/>
          </w:tcPr>
          <w:p w14:paraId="6BA77F83" w14:textId="5671A083" w:rsidR="0089309C" w:rsidRPr="00CF4650" w:rsidRDefault="00F41D0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Brak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sublimitu</w:t>
            </w:r>
            <w:proofErr w:type="spellEnd"/>
          </w:p>
        </w:tc>
        <w:tc>
          <w:tcPr>
            <w:tcW w:w="1979" w:type="dxa"/>
          </w:tcPr>
          <w:p w14:paraId="13D3B343" w14:textId="77777777" w:rsidR="0089309C" w:rsidRPr="00CF4650" w:rsidRDefault="0089309C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09C" w14:paraId="120B729D" w14:textId="77777777" w:rsidTr="00CF4650">
        <w:tc>
          <w:tcPr>
            <w:tcW w:w="5949" w:type="dxa"/>
          </w:tcPr>
          <w:p w14:paraId="647140E4" w14:textId="675FC328" w:rsidR="0089309C" w:rsidRPr="00CF4650" w:rsidRDefault="00473279" w:rsidP="008930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7. Zakup i instalacja obudów, osłon i ekranów chroniących przed promieniowaniem jonizującym.</w:t>
            </w:r>
          </w:p>
        </w:tc>
        <w:tc>
          <w:tcPr>
            <w:tcW w:w="1134" w:type="dxa"/>
          </w:tcPr>
          <w:p w14:paraId="67D34F4E" w14:textId="75BB2992" w:rsidR="0089309C" w:rsidRPr="00CF4650" w:rsidRDefault="00F41D0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Brak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sublimitu</w:t>
            </w:r>
            <w:proofErr w:type="spellEnd"/>
          </w:p>
        </w:tc>
        <w:tc>
          <w:tcPr>
            <w:tcW w:w="1979" w:type="dxa"/>
          </w:tcPr>
          <w:p w14:paraId="3096536E" w14:textId="77777777" w:rsidR="0089309C" w:rsidRPr="00CF4650" w:rsidRDefault="0089309C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09C" w14:paraId="211D5FD0" w14:textId="77777777" w:rsidTr="00CF4650">
        <w:tc>
          <w:tcPr>
            <w:tcW w:w="5949" w:type="dxa"/>
          </w:tcPr>
          <w:p w14:paraId="2271EA3B" w14:textId="576CED6B" w:rsidR="0089309C" w:rsidRPr="00CF4650" w:rsidRDefault="00473279" w:rsidP="004732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8. Zakup i instalacja kabin, obudów, ekranów i osłon dźwiękoizolacyjnych lub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dźwiękochłonno</w:t>
            </w:r>
            <w:proofErr w:type="spellEnd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-izolacyjnych</w:t>
            </w:r>
          </w:p>
        </w:tc>
        <w:tc>
          <w:tcPr>
            <w:tcW w:w="1134" w:type="dxa"/>
          </w:tcPr>
          <w:p w14:paraId="07339F6C" w14:textId="3C39D3EA" w:rsidR="0089309C" w:rsidRPr="00CF4650" w:rsidRDefault="002A4D05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Brak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sublimitu</w:t>
            </w:r>
            <w:proofErr w:type="spellEnd"/>
          </w:p>
        </w:tc>
        <w:tc>
          <w:tcPr>
            <w:tcW w:w="1979" w:type="dxa"/>
          </w:tcPr>
          <w:p w14:paraId="6277985F" w14:textId="77777777" w:rsidR="0089309C" w:rsidRPr="00CF4650" w:rsidRDefault="0089309C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09C" w14:paraId="23B3409C" w14:textId="77777777" w:rsidTr="00CF4650">
        <w:tc>
          <w:tcPr>
            <w:tcW w:w="5949" w:type="dxa"/>
          </w:tcPr>
          <w:p w14:paraId="483DD5EF" w14:textId="00B6DD67" w:rsidR="0089309C" w:rsidRPr="00CF4650" w:rsidRDefault="000856CD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9. Zakup i instalacja tłumików akustycznych oraz materiałów i ustrojów dźwiękochłonnych chroniących przed hałasem.</w:t>
            </w:r>
          </w:p>
        </w:tc>
        <w:tc>
          <w:tcPr>
            <w:tcW w:w="1134" w:type="dxa"/>
          </w:tcPr>
          <w:p w14:paraId="07451B41" w14:textId="1B355A17" w:rsidR="0089309C" w:rsidRPr="00CF4650" w:rsidRDefault="002A4D05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Brak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sublimitu</w:t>
            </w:r>
            <w:proofErr w:type="spellEnd"/>
          </w:p>
        </w:tc>
        <w:tc>
          <w:tcPr>
            <w:tcW w:w="1979" w:type="dxa"/>
          </w:tcPr>
          <w:p w14:paraId="01332F89" w14:textId="77777777" w:rsidR="0089309C" w:rsidRPr="00CF4650" w:rsidRDefault="0089309C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09C" w14:paraId="6A77EA4D" w14:textId="77777777" w:rsidTr="00CF4650">
        <w:tc>
          <w:tcPr>
            <w:tcW w:w="5949" w:type="dxa"/>
          </w:tcPr>
          <w:p w14:paraId="5FC52E6A" w14:textId="7DB7533C" w:rsidR="0089309C" w:rsidRPr="00CF4650" w:rsidRDefault="006D570C" w:rsidP="008930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10. Zakup i instalacja tłumików akustycznych oraz materiałów i ustrojów dźwiękochłonnych chroniących przed hałasem.</w:t>
            </w:r>
          </w:p>
        </w:tc>
        <w:tc>
          <w:tcPr>
            <w:tcW w:w="1134" w:type="dxa"/>
          </w:tcPr>
          <w:p w14:paraId="2A927B91" w14:textId="2A231BE4" w:rsidR="0089309C" w:rsidRPr="00CF4650" w:rsidRDefault="002A4D05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Brak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sublimitu</w:t>
            </w:r>
            <w:proofErr w:type="spellEnd"/>
          </w:p>
        </w:tc>
        <w:tc>
          <w:tcPr>
            <w:tcW w:w="1979" w:type="dxa"/>
          </w:tcPr>
          <w:p w14:paraId="509B2219" w14:textId="77777777" w:rsidR="0089309C" w:rsidRPr="00CF4650" w:rsidRDefault="0089309C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09C" w14:paraId="79F4943B" w14:textId="77777777" w:rsidTr="00CF4650">
        <w:tc>
          <w:tcPr>
            <w:tcW w:w="5949" w:type="dxa"/>
          </w:tcPr>
          <w:p w14:paraId="0629A83F" w14:textId="7991D611" w:rsidR="0089309C" w:rsidRPr="00CF4650" w:rsidRDefault="00F50866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11. Zakup i instalacja elektrycznych systemów oświetleniowych w celu zapewnienia zgodnych z aktualnymi normatywami parametrów oświetlenia pomieszczeń i stanowisk pracy (bez ingerencji w wewnętrzny układ elektryczny opraw).</w:t>
            </w:r>
            <w:r w:rsidR="003A7B21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Dofinansowaniu podlega instalacja elektryczna doprowadzona do opraw oświetleniowych od najbliższej rozdzielni oświetleniowej wraz z jej wyposażeniem.</w:t>
            </w:r>
          </w:p>
        </w:tc>
        <w:tc>
          <w:tcPr>
            <w:tcW w:w="1134" w:type="dxa"/>
          </w:tcPr>
          <w:p w14:paraId="0728233A" w14:textId="37C468DC" w:rsidR="0089309C" w:rsidRPr="00CF4650" w:rsidRDefault="002A4D05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60.000</w:t>
            </w:r>
          </w:p>
        </w:tc>
        <w:tc>
          <w:tcPr>
            <w:tcW w:w="1979" w:type="dxa"/>
          </w:tcPr>
          <w:p w14:paraId="29DC0D3D" w14:textId="77777777" w:rsidR="0089309C" w:rsidRPr="00CF4650" w:rsidRDefault="0089309C" w:rsidP="00CF46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9309C" w14:paraId="4A6C0718" w14:textId="77777777" w:rsidTr="00CF4650">
        <w:tc>
          <w:tcPr>
            <w:tcW w:w="5949" w:type="dxa"/>
          </w:tcPr>
          <w:p w14:paraId="4AB6408B" w14:textId="116D4D8A" w:rsidR="0089309C" w:rsidRPr="00CF4650" w:rsidRDefault="00773950" w:rsidP="008930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12. </w:t>
            </w:r>
            <w:r w:rsidR="00AE6E92" w:rsidRPr="00CF4650">
              <w:rPr>
                <w:rFonts w:asciiTheme="majorHAnsi" w:hAnsiTheme="majorHAnsi" w:cstheme="majorHAnsi"/>
                <w:sz w:val="20"/>
                <w:szCs w:val="20"/>
              </w:rPr>
              <w:t>Zakup i instalacja obudów, osłon i ekranów chroniących przed promieniowaniem optycznym.</w:t>
            </w:r>
          </w:p>
        </w:tc>
        <w:tc>
          <w:tcPr>
            <w:tcW w:w="1134" w:type="dxa"/>
          </w:tcPr>
          <w:p w14:paraId="4CD7026A" w14:textId="16D4CA33" w:rsidR="0089309C" w:rsidRPr="00CF4650" w:rsidRDefault="002A4D05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Brak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sublimitu</w:t>
            </w:r>
            <w:proofErr w:type="spellEnd"/>
          </w:p>
        </w:tc>
        <w:tc>
          <w:tcPr>
            <w:tcW w:w="1979" w:type="dxa"/>
          </w:tcPr>
          <w:p w14:paraId="6F848841" w14:textId="77777777" w:rsidR="0089309C" w:rsidRPr="00CF4650" w:rsidRDefault="0089309C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0866" w14:paraId="4EEA9D6D" w14:textId="77777777" w:rsidTr="00CF4650">
        <w:tc>
          <w:tcPr>
            <w:tcW w:w="5949" w:type="dxa"/>
          </w:tcPr>
          <w:p w14:paraId="3BEB4D48" w14:textId="6C1E76A3" w:rsidR="00F50866" w:rsidRPr="00CF4650" w:rsidRDefault="00AE6E92" w:rsidP="007739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13. Zakup środków ochrony przed porażeniem prądem elektrycznym, np. elastyczne osłony izolacyjne, uziemiacze, drążki izolacyjne/manewrowe,</w:t>
            </w:r>
            <w:r w:rsidR="00773950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akustyczno-optyczne wskaźniki napięcia, hak ewakuacyjny , podesty elektroizolacyjne, chodniki elektroizolacyjne.</w:t>
            </w:r>
          </w:p>
        </w:tc>
        <w:tc>
          <w:tcPr>
            <w:tcW w:w="1134" w:type="dxa"/>
          </w:tcPr>
          <w:p w14:paraId="4D0093DB" w14:textId="74147489" w:rsidR="00F50866" w:rsidRPr="00CF4650" w:rsidRDefault="00AE6E92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30.000</w:t>
            </w:r>
          </w:p>
        </w:tc>
        <w:tc>
          <w:tcPr>
            <w:tcW w:w="1979" w:type="dxa"/>
          </w:tcPr>
          <w:p w14:paraId="2A350417" w14:textId="77777777" w:rsidR="00F50866" w:rsidRPr="00CF4650" w:rsidRDefault="00F5086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0866" w14:paraId="52D2C802" w14:textId="77777777" w:rsidTr="00CF4650">
        <w:tc>
          <w:tcPr>
            <w:tcW w:w="5949" w:type="dxa"/>
          </w:tcPr>
          <w:p w14:paraId="7BB622F1" w14:textId="6CBDBD37" w:rsidR="00F50866" w:rsidRPr="00CF4650" w:rsidRDefault="00773950" w:rsidP="007739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14. Zakup i instalacja środków technicznych ochrony antyelektrostatycznej, zapobiegającej rażeniom człowieka oraz zapłonowi atmosfer wybuchowych przez wyładowania elektrostatyczne, np. jonizatory powietrza, maty i listwy antyelektrostatyczne itp.</w:t>
            </w:r>
          </w:p>
        </w:tc>
        <w:tc>
          <w:tcPr>
            <w:tcW w:w="1134" w:type="dxa"/>
          </w:tcPr>
          <w:p w14:paraId="1567767B" w14:textId="02E7EF52" w:rsidR="00F50866" w:rsidRPr="00CF4650" w:rsidRDefault="002A4D05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Brak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sublimitu</w:t>
            </w:r>
            <w:proofErr w:type="spellEnd"/>
          </w:p>
        </w:tc>
        <w:tc>
          <w:tcPr>
            <w:tcW w:w="1979" w:type="dxa"/>
          </w:tcPr>
          <w:p w14:paraId="3D391B22" w14:textId="77777777" w:rsidR="00F50866" w:rsidRPr="00CF4650" w:rsidRDefault="00F5086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0866" w14:paraId="61F3A5B2" w14:textId="77777777" w:rsidTr="00CF4650">
        <w:tc>
          <w:tcPr>
            <w:tcW w:w="5949" w:type="dxa"/>
          </w:tcPr>
          <w:p w14:paraId="34C4D5CC" w14:textId="44383CFD" w:rsidR="00F50866" w:rsidRPr="00CF4650" w:rsidRDefault="00FB6BF8" w:rsidP="002B6B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15. Zakup i instalacja urządzeń i elementów klimatyzacji ogólnej do stosowania w warunkach mikroklimatu gorącego lub zimnego (np. centrali</w:t>
            </w:r>
            <w:r w:rsidR="002B6B66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klimatyzacyjnych, centrali wentylacyjno-klimatyzacyjnych, wentylatorów, filtrów, nawiewników powietrza, regulatorów, przewodów) pod</w:t>
            </w:r>
            <w:r w:rsidR="002B6B66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warunkiem występowania przekroczenia wartości dopuszczalnych wskaźników mikroklimatu gorącego/zimnego na stanowiskach pracy</w:t>
            </w:r>
            <w:r w:rsidR="002B6B66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spowodowanego emisją ciepła/zimna z maszyn i procesów technologicznych).</w:t>
            </w:r>
          </w:p>
        </w:tc>
        <w:tc>
          <w:tcPr>
            <w:tcW w:w="1134" w:type="dxa"/>
          </w:tcPr>
          <w:p w14:paraId="7E4AD483" w14:textId="5C8F5564" w:rsidR="00F50866" w:rsidRPr="00CF4650" w:rsidRDefault="002B6B6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200.000</w:t>
            </w:r>
          </w:p>
        </w:tc>
        <w:tc>
          <w:tcPr>
            <w:tcW w:w="1979" w:type="dxa"/>
          </w:tcPr>
          <w:p w14:paraId="17C7AAE4" w14:textId="77777777" w:rsidR="00F50866" w:rsidRPr="00CF4650" w:rsidRDefault="00F5086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0866" w14:paraId="6A249F23" w14:textId="77777777" w:rsidTr="00CF4650">
        <w:tc>
          <w:tcPr>
            <w:tcW w:w="5949" w:type="dxa"/>
          </w:tcPr>
          <w:p w14:paraId="3A51269B" w14:textId="1852FC77" w:rsidR="00F50866" w:rsidRPr="00CF4650" w:rsidRDefault="00997235" w:rsidP="00032B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16. Zakup i instalacja urządzeń i elementów mechanicznej wentylacji ogólnej i miejscowej wywiewnej oraz nawiewnej do stosowania w warunkach</w:t>
            </w:r>
            <w:r w:rsidR="00032B82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zagrożenia szkodliwymi czynnikami chemicznymi lub pyłowymi (np. obudowy, okapy, ssawki, dygestoria, komory laminarne, filtry,</w:t>
            </w:r>
            <w:r w:rsidR="00032B82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filtropochłaniacze, urządzenia do odpylania na sucho i na mokro, cyklony, elektrofiltry, wentylatory, czerpnie, wyrzutnie, klapy zwrotne i</w:t>
            </w:r>
            <w:r w:rsidR="00032B82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pożarowe, przepustnice, przewody i kształtki wentylacyjne, stoły do obróbki skrawaniem i spawania zintegrowane z urządzeniami i elementami</w:t>
            </w:r>
            <w:r w:rsidR="00032B82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miejscowej wentylacji i filtracji powietrza, urządzenia i elementy miejscowej wywiewnej wentylacji i filtracji powietrza ścian, kabin i komór</w:t>
            </w:r>
            <w:r w:rsidR="00032B82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lakierniczych, urządzenia wentylacji indywidualnej).</w:t>
            </w:r>
          </w:p>
        </w:tc>
        <w:tc>
          <w:tcPr>
            <w:tcW w:w="1134" w:type="dxa"/>
          </w:tcPr>
          <w:p w14:paraId="5642CEAA" w14:textId="49DA5B6A" w:rsidR="00F50866" w:rsidRPr="00CF4650" w:rsidRDefault="00E9225F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Brak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sublimitu</w:t>
            </w:r>
            <w:proofErr w:type="spellEnd"/>
          </w:p>
        </w:tc>
        <w:tc>
          <w:tcPr>
            <w:tcW w:w="1979" w:type="dxa"/>
          </w:tcPr>
          <w:p w14:paraId="5BFF3F1A" w14:textId="77777777" w:rsidR="00F50866" w:rsidRPr="00CF4650" w:rsidRDefault="00F5086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0866" w14:paraId="1FC7BF04" w14:textId="77777777" w:rsidTr="00CF4650">
        <w:tc>
          <w:tcPr>
            <w:tcW w:w="5949" w:type="dxa"/>
          </w:tcPr>
          <w:p w14:paraId="621BB519" w14:textId="41CE6ED3" w:rsidR="00F50866" w:rsidRPr="00CF4650" w:rsidRDefault="00332D05" w:rsidP="008930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17. Zakup i instalacja urządzeń i elementów mechanicznej wentylacji ogólnej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nawiewno</w:t>
            </w:r>
            <w:proofErr w:type="spellEnd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-wywiewnej innych niż wymienione w punkcie 16.</w:t>
            </w:r>
          </w:p>
        </w:tc>
        <w:tc>
          <w:tcPr>
            <w:tcW w:w="1134" w:type="dxa"/>
          </w:tcPr>
          <w:p w14:paraId="5BFF7412" w14:textId="60F253E6" w:rsidR="00F50866" w:rsidRPr="00CF4650" w:rsidRDefault="001D47E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200.000</w:t>
            </w:r>
          </w:p>
        </w:tc>
        <w:tc>
          <w:tcPr>
            <w:tcW w:w="1979" w:type="dxa"/>
          </w:tcPr>
          <w:p w14:paraId="7214B745" w14:textId="77777777" w:rsidR="00F50866" w:rsidRPr="00CF4650" w:rsidRDefault="00F5086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47E6" w14:paraId="59C499C4" w14:textId="77777777" w:rsidTr="00CF4650">
        <w:tc>
          <w:tcPr>
            <w:tcW w:w="5949" w:type="dxa"/>
          </w:tcPr>
          <w:p w14:paraId="4C43F097" w14:textId="60D9C633" w:rsidR="001D47E6" w:rsidRPr="00CF4650" w:rsidRDefault="00E7272D" w:rsidP="00032B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18. Zakup i instalacja urządzeń służących poprawie bezpieczeństwa prac na wysokości, np.: siatki ochronne, zabezpieczenia na krawędzi ciągów</w:t>
            </w:r>
            <w:r w:rsidR="00032B82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komunikacyjnych i innych otworów w stropach, bramki paletowe wychylne, podesty stacjonarne, rusztowania ruchome – przejezdne</w:t>
            </w:r>
            <w:r w:rsidR="00032B82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(z wyłączeniem innych typów rusztowań) oraz drabiny rozstawne jezdne z podestem roboczym wyposażonym w zabezpieczenie przed upadkiem</w:t>
            </w:r>
            <w:r w:rsidR="00032B82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z wysokości.</w:t>
            </w:r>
          </w:p>
        </w:tc>
        <w:tc>
          <w:tcPr>
            <w:tcW w:w="1134" w:type="dxa"/>
          </w:tcPr>
          <w:p w14:paraId="65719D95" w14:textId="60BD2B16" w:rsidR="001D47E6" w:rsidRPr="00CF4650" w:rsidRDefault="00E7272D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50.000</w:t>
            </w:r>
          </w:p>
        </w:tc>
        <w:tc>
          <w:tcPr>
            <w:tcW w:w="1979" w:type="dxa"/>
          </w:tcPr>
          <w:p w14:paraId="52B736F8" w14:textId="77777777" w:rsidR="001D47E6" w:rsidRPr="00CF4650" w:rsidRDefault="001D47E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47E6" w14:paraId="41C8313A" w14:textId="77777777" w:rsidTr="00CF4650">
        <w:tc>
          <w:tcPr>
            <w:tcW w:w="5949" w:type="dxa"/>
          </w:tcPr>
          <w:p w14:paraId="36CA8389" w14:textId="53EAA90A" w:rsidR="001D47E6" w:rsidRPr="00CF4650" w:rsidRDefault="00032B82" w:rsidP="00032B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19. Zakup maszyn i urządzeń z ruchomym podestem roboczym, służących poprawie bezpieczeństwa prac na wysokości, np. podesty ruchome (wiszące, masztowe, stacjonarne), podesty ruchome przejezdne (wolnobieżne, przewoźne), w tym wózki kompletacyjne podnoszące pracownika wraz z ładunkiem.</w:t>
            </w:r>
          </w:p>
        </w:tc>
        <w:tc>
          <w:tcPr>
            <w:tcW w:w="1134" w:type="dxa"/>
          </w:tcPr>
          <w:p w14:paraId="1224E9A0" w14:textId="4B34F651" w:rsidR="001D47E6" w:rsidRPr="00CF4650" w:rsidRDefault="00E9225F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50.000</w:t>
            </w:r>
          </w:p>
        </w:tc>
        <w:tc>
          <w:tcPr>
            <w:tcW w:w="1979" w:type="dxa"/>
          </w:tcPr>
          <w:p w14:paraId="2D236436" w14:textId="77777777" w:rsidR="001D47E6" w:rsidRPr="00CF4650" w:rsidRDefault="001D47E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47E6" w14:paraId="4C523A15" w14:textId="77777777" w:rsidTr="00CF4650">
        <w:tc>
          <w:tcPr>
            <w:tcW w:w="5949" w:type="dxa"/>
          </w:tcPr>
          <w:p w14:paraId="57DF578B" w14:textId="30FCBC88" w:rsidR="001D47E6" w:rsidRPr="00CF4650" w:rsidRDefault="005341E5" w:rsidP="00DD38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20. </w:t>
            </w:r>
            <w:r w:rsidR="00DD38D1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Zakup środków technicznych do obudowy wykopów ziemnych służących wyłącznie zabezpieczeniu pracowników podczas wykonywania doraźnych prac naprawczych prowadzonych w wykopach o głębokości do 3 m, o dopuszczalnym nacisku gruntu do 30 </w:t>
            </w:r>
            <w:proofErr w:type="spellStart"/>
            <w:r w:rsidR="00DD38D1" w:rsidRPr="00CF4650">
              <w:rPr>
                <w:rFonts w:asciiTheme="majorHAnsi" w:hAnsiTheme="majorHAnsi" w:cstheme="majorHAnsi"/>
                <w:sz w:val="20"/>
                <w:szCs w:val="20"/>
              </w:rPr>
              <w:t>kN</w:t>
            </w:r>
            <w:proofErr w:type="spellEnd"/>
            <w:r w:rsidR="00DD38D1" w:rsidRPr="00CF4650">
              <w:rPr>
                <w:rFonts w:asciiTheme="majorHAnsi" w:hAnsiTheme="majorHAnsi" w:cstheme="majorHAnsi"/>
                <w:sz w:val="20"/>
                <w:szCs w:val="20"/>
              </w:rPr>
              <w:t>/m2 (w szczególności szalunki typu boks z uchwytami rozporowymi lub punktowymi, szalunki typu słupowego).</w:t>
            </w:r>
          </w:p>
        </w:tc>
        <w:tc>
          <w:tcPr>
            <w:tcW w:w="1134" w:type="dxa"/>
          </w:tcPr>
          <w:p w14:paraId="2E2E618A" w14:textId="715A7D26" w:rsidR="001D47E6" w:rsidRPr="00CF4650" w:rsidRDefault="00DD38D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60.000</w:t>
            </w:r>
          </w:p>
        </w:tc>
        <w:tc>
          <w:tcPr>
            <w:tcW w:w="1979" w:type="dxa"/>
          </w:tcPr>
          <w:p w14:paraId="4460B024" w14:textId="77777777" w:rsidR="001D47E6" w:rsidRPr="00CF4650" w:rsidRDefault="001D47E6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38D1" w14:paraId="0BAA06A1" w14:textId="77777777" w:rsidTr="00CF4650">
        <w:tc>
          <w:tcPr>
            <w:tcW w:w="5949" w:type="dxa"/>
          </w:tcPr>
          <w:p w14:paraId="24CC1265" w14:textId="16E12C5E" w:rsidR="00DD38D1" w:rsidRPr="00CF4650" w:rsidRDefault="005341E5" w:rsidP="00DD38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21. </w:t>
            </w:r>
            <w:r w:rsidR="00DD38D1" w:rsidRPr="00CF4650">
              <w:rPr>
                <w:rFonts w:asciiTheme="majorHAnsi" w:hAnsiTheme="majorHAnsi" w:cstheme="majorHAnsi"/>
                <w:sz w:val="20"/>
                <w:szCs w:val="20"/>
              </w:rPr>
              <w:t>Zakup środków technicznych zabezpieczających przed dostępem do stref pracy pracowników, np. tymczasowe balustrady/bariery ze stałym oznakowaniem ostrzegawczym, zadaszenie robocze itp.</w:t>
            </w:r>
          </w:p>
        </w:tc>
        <w:tc>
          <w:tcPr>
            <w:tcW w:w="1134" w:type="dxa"/>
          </w:tcPr>
          <w:p w14:paraId="43EA6915" w14:textId="2B48CFFB" w:rsidR="00DD38D1" w:rsidRPr="00CF4650" w:rsidRDefault="00DD38D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25.000</w:t>
            </w:r>
          </w:p>
        </w:tc>
        <w:tc>
          <w:tcPr>
            <w:tcW w:w="1979" w:type="dxa"/>
          </w:tcPr>
          <w:p w14:paraId="12CE33E8" w14:textId="77777777" w:rsidR="00DD38D1" w:rsidRPr="00CF4650" w:rsidRDefault="00DD38D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7178" w14:paraId="65CECD7A" w14:textId="77777777" w:rsidTr="00CF4650">
        <w:tc>
          <w:tcPr>
            <w:tcW w:w="5949" w:type="dxa"/>
          </w:tcPr>
          <w:p w14:paraId="7F6C2F01" w14:textId="5ACBC5E9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22. Zakup i instalacja urządzeń o udźwigu maksymalnym do 450 kg służących wyłącznie ograniczeniu obciążenia układu mięśniowo-szkieletowego przy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pracach ręcznych związanych z przemieszczaniem przedmiotów, ładunków lub materiałów, np.:</w:t>
            </w:r>
          </w:p>
          <w:p w14:paraId="74542542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a. ręczne wózki platformowe oraz platformowe dwunożycowe,</w:t>
            </w:r>
          </w:p>
          <w:p w14:paraId="5B264465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b.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schodołazy</w:t>
            </w:r>
            <w:proofErr w:type="spellEnd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661AB46D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c. wciągniki z jednym uchwytem mocującym,</w:t>
            </w:r>
          </w:p>
          <w:p w14:paraId="29889C5B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d. żurawiki (udźwig mierzony na najkrótszym ramieniu),</w:t>
            </w:r>
          </w:p>
          <w:p w14:paraId="78E311F7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e. wciągarki z jednym uchwytem mocującym,</w:t>
            </w:r>
          </w:p>
          <w:p w14:paraId="3A3538CD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f. suwnice,</w:t>
            </w:r>
          </w:p>
          <w:p w14:paraId="26D0E4EB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g. chwytaki i manipulatory (samojezdne, prowadzone i podwieszane),</w:t>
            </w:r>
          </w:p>
          <w:p w14:paraId="36EADA0C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h.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wozidła</w:t>
            </w:r>
            <w:proofErr w:type="spellEnd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prowadzone (o maksymalnej prędkości jezdnej/roboczej do 6 km/h),</w:t>
            </w:r>
          </w:p>
          <w:p w14:paraId="6ABBCD8E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i. wyciągi towarowe (windy dekarskie),</w:t>
            </w:r>
          </w:p>
          <w:p w14:paraId="41C9C090" w14:textId="77777777" w:rsidR="00450689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j. dźwigi towarowe małe (bez prawa wstępu osób do kabiny),</w:t>
            </w:r>
          </w:p>
          <w:p w14:paraId="67F4BAE5" w14:textId="73ED3771" w:rsidR="00EC7178" w:rsidRPr="00CF4650" w:rsidRDefault="00450689" w:rsidP="004506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k.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egzoszkielety</w:t>
            </w:r>
            <w:proofErr w:type="spellEnd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pasywne.</w:t>
            </w:r>
          </w:p>
        </w:tc>
        <w:tc>
          <w:tcPr>
            <w:tcW w:w="1134" w:type="dxa"/>
          </w:tcPr>
          <w:p w14:paraId="32B2CF50" w14:textId="5FDC484B" w:rsidR="00EC7178" w:rsidRPr="00CF4650" w:rsidRDefault="0045068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50.000</w:t>
            </w:r>
          </w:p>
        </w:tc>
        <w:tc>
          <w:tcPr>
            <w:tcW w:w="1979" w:type="dxa"/>
          </w:tcPr>
          <w:p w14:paraId="10C80E07" w14:textId="77777777" w:rsidR="00EC7178" w:rsidRPr="00CF4650" w:rsidRDefault="00EC7178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7178" w14:paraId="3D4E5F99" w14:textId="77777777" w:rsidTr="00CF4650">
        <w:tc>
          <w:tcPr>
            <w:tcW w:w="5949" w:type="dxa"/>
          </w:tcPr>
          <w:p w14:paraId="0CE4EF20" w14:textId="01E87618" w:rsidR="00C304A9" w:rsidRPr="00CF4650" w:rsidRDefault="00C304A9" w:rsidP="00C304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23. Zakup urządzeń służących wyłącznie ograniczeniu obciążenia układu mięśniowo-szkieletowego:</w:t>
            </w:r>
          </w:p>
          <w:p w14:paraId="7C451A76" w14:textId="5382DCCE" w:rsidR="00C304A9" w:rsidRPr="00CF4650" w:rsidRDefault="00C304A9" w:rsidP="00C304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a. wózków jezdniowych do przemieszczania palet (o udźwigu do 2 ton i maksymalnej wysokości unoszenia do 3,5 m) wyłącznie z napędem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elektrycznym takie, jak: wózki prowadzone, podestowe,</w:t>
            </w:r>
          </w:p>
          <w:p w14:paraId="021522B9" w14:textId="77777777" w:rsidR="00C304A9" w:rsidRPr="00CF4650" w:rsidRDefault="00C304A9" w:rsidP="00C304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b. ręcznie prowadzonych ciągników do wózków, np. magazynowych (o udźwigu do 2 ton i maksymalnej prędkości jezdnej do 6 km/h),</w:t>
            </w:r>
          </w:p>
          <w:p w14:paraId="7FE1BE70" w14:textId="77777777" w:rsidR="00C304A9" w:rsidRPr="00CF4650" w:rsidRDefault="00C304A9" w:rsidP="00C304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c. urządzeń do transportu pionowego osób chorych, niepełnosprawnych, zmarłych w zakresie jednej kondygnacji, np. podnośniki rehabilitacyjne,</w:t>
            </w:r>
          </w:p>
          <w:p w14:paraId="1253C77A" w14:textId="77777777" w:rsidR="00C304A9" w:rsidRPr="00CF4650" w:rsidRDefault="00C304A9" w:rsidP="00C304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d.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schodołazów</w:t>
            </w:r>
            <w:proofErr w:type="spellEnd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do transportu osób,</w:t>
            </w:r>
          </w:p>
          <w:p w14:paraId="1A505093" w14:textId="33185662" w:rsidR="00EC7178" w:rsidRPr="00CF4650" w:rsidRDefault="00C304A9" w:rsidP="00C304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e. zestawów do zrywki drewna (przyczepa leśna z żurawiem, bez ograniczenia udźwigu).</w:t>
            </w:r>
          </w:p>
        </w:tc>
        <w:tc>
          <w:tcPr>
            <w:tcW w:w="1134" w:type="dxa"/>
          </w:tcPr>
          <w:p w14:paraId="162FC8C8" w14:textId="0C344721" w:rsidR="00EC7178" w:rsidRPr="00CF4650" w:rsidRDefault="00C304A9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50.000</w:t>
            </w:r>
          </w:p>
        </w:tc>
        <w:tc>
          <w:tcPr>
            <w:tcW w:w="1979" w:type="dxa"/>
          </w:tcPr>
          <w:p w14:paraId="42366F08" w14:textId="77777777" w:rsidR="00EC7178" w:rsidRPr="00CF4650" w:rsidRDefault="00EC7178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7178" w14:paraId="41EEC7C5" w14:textId="77777777" w:rsidTr="00CF4650">
        <w:tc>
          <w:tcPr>
            <w:tcW w:w="5949" w:type="dxa"/>
          </w:tcPr>
          <w:p w14:paraId="4114805E" w14:textId="2F400E4A" w:rsidR="003B3F61" w:rsidRPr="00CF4650" w:rsidRDefault="008E5BF7" w:rsidP="003B3F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24.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Zakup wyposażenia stanowisk pracy, które ma na celu ograniczenie obciążenia układu mięśniowo-szkieletowego, szczególnie obciążenia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o charakterze statycznym poprzez umożliwienie wykonywania pracy fizycznej w pozycji naprzemiennie, stojącej i siedzącej lub w pozycji stojącej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z podparciem, z zachowaniem dobrej stabilności postawy. Dofinansowaniu podlegają istniejące stanowiska pracy, które ze względu na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występujące duże obciążenie układu mięśniowo-szkieletowego wymagają modernizacji. Możliwe jest dofinansowanie zakupu:</w:t>
            </w:r>
          </w:p>
          <w:p w14:paraId="2CE6276A" w14:textId="28FE5D08" w:rsidR="003B3F61" w:rsidRPr="00CF4650" w:rsidRDefault="003B3F61" w:rsidP="003B3F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a. specjalistycznych stołów (np. tapicerskich, spawalniczych) z automatyczną regulacją wysokości blatu w zakresie co najmniej 50 cm lub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automatyczną regulacją odchylenia blatu min. 30 stopni ,</w:t>
            </w:r>
          </w:p>
          <w:p w14:paraId="7AB8EC9B" w14:textId="32FC58F5" w:rsidR="003B3F61" w:rsidRPr="00CF4650" w:rsidRDefault="003B3F61" w:rsidP="003B3F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b. specjalistycznych stołów/foteli dla pacjentów/klientów wykorzystywanych w gabinetach, np. medycznych, fizjoterapeutycznych,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kosmetycznych, fryzjerskich. Stoły/fotele muszą posiadać funkcję automatycznej regulacji wysokości w zakresie co najmniej 30 cm,</w:t>
            </w:r>
          </w:p>
          <w:p w14:paraId="2ED33B1D" w14:textId="235A0067" w:rsidR="00EC7178" w:rsidRPr="00CF4650" w:rsidRDefault="003B3F61" w:rsidP="003B3F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c. stołów do </w:t>
            </w:r>
            <w:proofErr w:type="spellStart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balsamacji</w:t>
            </w:r>
            <w:proofErr w:type="spellEnd"/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z automatyczną regulacją wysokości.</w:t>
            </w:r>
          </w:p>
        </w:tc>
        <w:tc>
          <w:tcPr>
            <w:tcW w:w="1134" w:type="dxa"/>
          </w:tcPr>
          <w:p w14:paraId="788F935C" w14:textId="4427F451" w:rsidR="00EC7178" w:rsidRPr="00CF4650" w:rsidRDefault="003B3F6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50.000</w:t>
            </w:r>
          </w:p>
        </w:tc>
        <w:tc>
          <w:tcPr>
            <w:tcW w:w="1979" w:type="dxa"/>
          </w:tcPr>
          <w:p w14:paraId="371529BB" w14:textId="77777777" w:rsidR="00EC7178" w:rsidRPr="00CF4650" w:rsidRDefault="00EC7178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7178" w:rsidRPr="008E5BF7" w14:paraId="7F01E51A" w14:textId="77777777" w:rsidTr="00CF4650">
        <w:tc>
          <w:tcPr>
            <w:tcW w:w="5949" w:type="dxa"/>
          </w:tcPr>
          <w:p w14:paraId="32D6C808" w14:textId="015E3DB1" w:rsidR="00EC7178" w:rsidRPr="00CF4650" w:rsidRDefault="008E5BF7" w:rsidP="006701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25.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Zakup i instalacja urządzeń służących poprawie bezpieczeństwa pracy w przypadku narażenia na szkodliwe czynniki biologiczne, np.: urządzenia do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dezynfekcji i sterylizacji (sterylizatory parowe, urządzenia do dezynfekcji powierzchni i powietrza), komory laminarne, komory bezpiecznej pracy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BSC, śluzy sanitarne, stacje do mycia i dezynfekcji środków ochrony indywidualnej, stacje do dezynfekcji rąk, natryski ratunkowe do obmycia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całego ciała oraz natryski do przemywania oczu, urządzenia do bezpiecznego przechowywania niebezpiecznych czynników biologicznych.</w:t>
            </w:r>
          </w:p>
        </w:tc>
        <w:tc>
          <w:tcPr>
            <w:tcW w:w="1134" w:type="dxa"/>
          </w:tcPr>
          <w:p w14:paraId="74C4A229" w14:textId="2C3E520C" w:rsidR="00EC7178" w:rsidRPr="00CF4650" w:rsidRDefault="003B3F6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50.000</w:t>
            </w:r>
          </w:p>
        </w:tc>
        <w:tc>
          <w:tcPr>
            <w:tcW w:w="1979" w:type="dxa"/>
          </w:tcPr>
          <w:p w14:paraId="368DF522" w14:textId="77777777" w:rsidR="00EC7178" w:rsidRPr="00CF4650" w:rsidRDefault="00EC7178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7178" w14:paraId="07BB3277" w14:textId="77777777" w:rsidTr="00CF4650">
        <w:tc>
          <w:tcPr>
            <w:tcW w:w="5949" w:type="dxa"/>
          </w:tcPr>
          <w:p w14:paraId="541D819E" w14:textId="42E611A7" w:rsidR="00EC7178" w:rsidRPr="00CF4650" w:rsidRDefault="008E5BF7" w:rsidP="006701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26.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Zakup i instalacja urządzeń służących poprawie bezpieczeństwa pracy w przypadku narażenia na czynniki chemiczne, np. urządzenia do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bezpiecznego przechowywania substancji chemicznych (np. bezpieczne szafy, bezpieczne pojemniki), natryski ratunkowe do obmycia całego ciała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oraz natryski do przemywania oczu, środki do ograniczania wycieków (np. wanny, sorbenty), przemysłowe systemy detekcji toksycznych lub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3F61" w:rsidRPr="00CF4650">
              <w:rPr>
                <w:rFonts w:asciiTheme="majorHAnsi" w:hAnsiTheme="majorHAnsi" w:cstheme="majorHAnsi"/>
                <w:sz w:val="20"/>
                <w:szCs w:val="20"/>
              </w:rPr>
              <w:t>wybuchowych gazów.</w:t>
            </w:r>
          </w:p>
        </w:tc>
        <w:tc>
          <w:tcPr>
            <w:tcW w:w="1134" w:type="dxa"/>
          </w:tcPr>
          <w:p w14:paraId="0B026EBB" w14:textId="2DE12923" w:rsidR="00EC7178" w:rsidRPr="00CF4650" w:rsidRDefault="003B3F6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80.000</w:t>
            </w:r>
          </w:p>
        </w:tc>
        <w:tc>
          <w:tcPr>
            <w:tcW w:w="1979" w:type="dxa"/>
          </w:tcPr>
          <w:p w14:paraId="775EB7B9" w14:textId="77777777" w:rsidR="00EC7178" w:rsidRPr="00CF4650" w:rsidRDefault="00EC7178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21E1" w14:paraId="18B3F584" w14:textId="77777777" w:rsidTr="00CF4650">
        <w:tc>
          <w:tcPr>
            <w:tcW w:w="5949" w:type="dxa"/>
          </w:tcPr>
          <w:p w14:paraId="76BC2DD9" w14:textId="55630E4F" w:rsidR="003521E1" w:rsidRPr="00CF4650" w:rsidRDefault="003521E1" w:rsidP="006701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27. Zakup środków ochrony indywidualnej (ŚOI) oraz sprzętu do pracy na wysokości, tj. sprzętu ewakuacyjnego, sprzętu do pracy w tzw. „dostępie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linowym” oraz urządzeń kotwicznych.</w:t>
            </w:r>
          </w:p>
        </w:tc>
        <w:tc>
          <w:tcPr>
            <w:tcW w:w="1134" w:type="dxa"/>
          </w:tcPr>
          <w:p w14:paraId="2C37D56B" w14:textId="5235ED77" w:rsidR="003521E1" w:rsidRPr="00CF4650" w:rsidRDefault="003521E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40.000</w:t>
            </w:r>
          </w:p>
        </w:tc>
        <w:tc>
          <w:tcPr>
            <w:tcW w:w="1979" w:type="dxa"/>
          </w:tcPr>
          <w:p w14:paraId="75033FD0" w14:textId="77777777" w:rsidR="003521E1" w:rsidRPr="00CF4650" w:rsidRDefault="003521E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21E1" w14:paraId="592760AE" w14:textId="77777777" w:rsidTr="00CF4650">
        <w:tc>
          <w:tcPr>
            <w:tcW w:w="5949" w:type="dxa"/>
          </w:tcPr>
          <w:p w14:paraId="7D6ADD41" w14:textId="1E93A6A8" w:rsidR="003521E1" w:rsidRPr="00CF4650" w:rsidRDefault="003521E1" w:rsidP="006701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28. Zakup maszyn których wyłącznym przeznaczeniem jest ochrona człowieka/pracownika przed urazami mechanicznymi, jakie powstają podczas</w:t>
            </w:r>
            <w:r w:rsidR="0067015B" w:rsidRPr="00CF46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wykonywania czynności roboczych, np. poskromy zwierząt.</w:t>
            </w:r>
          </w:p>
        </w:tc>
        <w:tc>
          <w:tcPr>
            <w:tcW w:w="1134" w:type="dxa"/>
          </w:tcPr>
          <w:p w14:paraId="07B6FB48" w14:textId="27B69039" w:rsidR="003521E1" w:rsidRPr="00CF4650" w:rsidRDefault="003521E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4650">
              <w:rPr>
                <w:rFonts w:asciiTheme="majorHAnsi" w:hAnsiTheme="majorHAnsi" w:cstheme="majorHAnsi"/>
                <w:sz w:val="20"/>
                <w:szCs w:val="20"/>
              </w:rPr>
              <w:t>80.000</w:t>
            </w:r>
          </w:p>
        </w:tc>
        <w:tc>
          <w:tcPr>
            <w:tcW w:w="1979" w:type="dxa"/>
          </w:tcPr>
          <w:p w14:paraId="11D2A598" w14:textId="77777777" w:rsidR="003521E1" w:rsidRPr="00CF4650" w:rsidRDefault="003521E1" w:rsidP="009A719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5C813A0" w14:textId="77777777" w:rsidR="009A7193" w:rsidRDefault="009A7193" w:rsidP="009A7193"/>
    <w:sectPr w:rsidR="009A7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888"/>
    <w:multiLevelType w:val="multilevel"/>
    <w:tmpl w:val="ADDC4B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03C5"/>
    <w:multiLevelType w:val="hybridMultilevel"/>
    <w:tmpl w:val="916AF7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24B82"/>
    <w:multiLevelType w:val="hybridMultilevel"/>
    <w:tmpl w:val="D0D8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06E5"/>
    <w:multiLevelType w:val="hybridMultilevel"/>
    <w:tmpl w:val="CFA8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46AE"/>
    <w:multiLevelType w:val="multilevel"/>
    <w:tmpl w:val="9E269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7562B"/>
    <w:multiLevelType w:val="multilevel"/>
    <w:tmpl w:val="F9722A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94FF0"/>
    <w:multiLevelType w:val="multilevel"/>
    <w:tmpl w:val="DE7CEA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A1B6C"/>
    <w:multiLevelType w:val="hybridMultilevel"/>
    <w:tmpl w:val="790E9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534B5"/>
    <w:multiLevelType w:val="multilevel"/>
    <w:tmpl w:val="95D6D2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6259C"/>
    <w:multiLevelType w:val="hybridMultilevel"/>
    <w:tmpl w:val="A80A2ED4"/>
    <w:lvl w:ilvl="0" w:tplc="CD90C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8234F"/>
    <w:multiLevelType w:val="multilevel"/>
    <w:tmpl w:val="9D4C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A19B7"/>
    <w:multiLevelType w:val="multilevel"/>
    <w:tmpl w:val="DE7CEA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8B4FA1"/>
    <w:multiLevelType w:val="multilevel"/>
    <w:tmpl w:val="574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C920FD"/>
    <w:multiLevelType w:val="hybridMultilevel"/>
    <w:tmpl w:val="7D92EE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7833793">
    <w:abstractNumId w:val="3"/>
  </w:num>
  <w:num w:numId="2" w16cid:durableId="1861813532">
    <w:abstractNumId w:val="7"/>
  </w:num>
  <w:num w:numId="3" w16cid:durableId="172837615">
    <w:abstractNumId w:val="2"/>
  </w:num>
  <w:num w:numId="4" w16cid:durableId="1999578357">
    <w:abstractNumId w:val="1"/>
  </w:num>
  <w:num w:numId="5" w16cid:durableId="1062100717">
    <w:abstractNumId w:val="13"/>
  </w:num>
  <w:num w:numId="6" w16cid:durableId="18776217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1908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66836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47349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767413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6996544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6532725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262528">
    <w:abstractNumId w:val="11"/>
  </w:num>
  <w:num w:numId="14" w16cid:durableId="1225023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8F"/>
    <w:rsid w:val="00032B82"/>
    <w:rsid w:val="000856CD"/>
    <w:rsid w:val="00185323"/>
    <w:rsid w:val="001D47E6"/>
    <w:rsid w:val="001E6C60"/>
    <w:rsid w:val="00255047"/>
    <w:rsid w:val="002A4D05"/>
    <w:rsid w:val="002B6B66"/>
    <w:rsid w:val="002F196E"/>
    <w:rsid w:val="00332D05"/>
    <w:rsid w:val="003521E1"/>
    <w:rsid w:val="003A7B21"/>
    <w:rsid w:val="003B3F61"/>
    <w:rsid w:val="003B5779"/>
    <w:rsid w:val="00450689"/>
    <w:rsid w:val="004559C2"/>
    <w:rsid w:val="00473279"/>
    <w:rsid w:val="005341E5"/>
    <w:rsid w:val="00557422"/>
    <w:rsid w:val="00564B8C"/>
    <w:rsid w:val="0067015B"/>
    <w:rsid w:val="0068128F"/>
    <w:rsid w:val="006D570C"/>
    <w:rsid w:val="00773950"/>
    <w:rsid w:val="007C37C5"/>
    <w:rsid w:val="007D3926"/>
    <w:rsid w:val="008619C1"/>
    <w:rsid w:val="0089309C"/>
    <w:rsid w:val="008A043D"/>
    <w:rsid w:val="008A0DA4"/>
    <w:rsid w:val="008E5BF7"/>
    <w:rsid w:val="00997235"/>
    <w:rsid w:val="009A7193"/>
    <w:rsid w:val="009C2568"/>
    <w:rsid w:val="00A27E36"/>
    <w:rsid w:val="00AE6E92"/>
    <w:rsid w:val="00C304A9"/>
    <w:rsid w:val="00C62D29"/>
    <w:rsid w:val="00CD2D7E"/>
    <w:rsid w:val="00CF4650"/>
    <w:rsid w:val="00D31FAD"/>
    <w:rsid w:val="00DD38D1"/>
    <w:rsid w:val="00E7272D"/>
    <w:rsid w:val="00E9225F"/>
    <w:rsid w:val="00EC7178"/>
    <w:rsid w:val="00F02464"/>
    <w:rsid w:val="00F41D06"/>
    <w:rsid w:val="00F50866"/>
    <w:rsid w:val="00FB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C328"/>
  <w15:chartTrackingRefBased/>
  <w15:docId w15:val="{73DA877C-E8E4-49CE-AD86-E9281688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2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2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2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2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2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2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2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2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2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2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28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8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1600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Mikołajczyk</dc:creator>
  <cp:keywords/>
  <dc:description/>
  <cp:lastModifiedBy>Paweł Mikołajczyk</cp:lastModifiedBy>
  <cp:revision>3</cp:revision>
  <cp:lastPrinted>2025-01-28T12:08:00Z</cp:lastPrinted>
  <dcterms:created xsi:type="dcterms:W3CDTF">2025-10-21T04:38:00Z</dcterms:created>
  <dcterms:modified xsi:type="dcterms:W3CDTF">2025-10-21T04:55:00Z</dcterms:modified>
</cp:coreProperties>
</file>